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12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0800" behindDoc="0" locked="0" layoutInCell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310515</wp:posOffset>
                </wp:positionV>
                <wp:extent cx="1001395" cy="450215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8456" t="22355" r="6870" b="24375"/>
                        <a:stretch/>
                      </pic:blipFill>
                      <pic:spPr bwMode="auto">
                        <a:xfrm>
                          <a:off x="0" y="0"/>
                          <a:ext cx="100139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800;o:allowoverlap:true;o:allowincell:false;mso-position-horizontal-relative:text;margin-left:321.8pt;mso-position-horizontal:absolute;mso-position-vertical-relative:text;margin-top:24.4pt;mso-position-vertical:absolute;width:78.8pt;height:35.4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          </w:t>
      </w:r>
      <w:bookmarkStart w:id="0" w:name="_Hlk130308417"/>
      <w:r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    </w:t>
      </w:r>
      <w:r>
        <w:rPr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6852" cy="874816"/>
                <wp:effectExtent l="0" t="0" r="6350" b="1905"/>
                <wp:docPr id="2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25591" t="4891" r="26403" b="43059"/>
                        <a:stretch/>
                      </pic:blipFill>
                      <pic:spPr bwMode="auto">
                        <a:xfrm>
                          <a:off x="0" y="0"/>
                          <a:ext cx="855569" cy="9276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3.5pt;height:68.9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99988" cy="541655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-14" t="-47" r="14789" b="-46"/>
                        <a:stretch/>
                      </pic:blipFill>
                      <pic:spPr bwMode="auto">
                        <a:xfrm>
                          <a:off x="0" y="0"/>
                          <a:ext cx="1722032" cy="548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3.9pt;height:42.6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    </w:t>
      </w:r>
      <w:r/>
    </w:p>
    <w:p>
      <w:pPr>
        <w:ind w:right="403"/>
        <w:jc w:val="center"/>
        <w:spacing w:after="240" w:line="28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/>
      <w:bookmarkStart w:id="1" w:name="_Hlk130306470"/>
      <w:r/>
      <w:bookmarkEnd w:id="1"/>
      <w:r/>
      <w:r/>
    </w:p>
    <w:p>
      <w:pPr>
        <w:ind w:right="403"/>
        <w:jc w:val="center"/>
        <w:spacing w:after="240" w:line="28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Стартовал новый сезон конкурса «Большая перемена» </w:t>
      </w:r>
      <w:r/>
    </w:p>
    <w:p>
      <w:pPr>
        <w:ind w:right="684"/>
        <w:jc w:val="both"/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открыта на платформе </w:t>
      </w:r>
      <w:r>
        <w:rPr>
          <w:rFonts w:ascii="Carlito" w:hAnsi="Carlito" w:cs="Carlito"/>
          <w:b/>
          <w:bCs/>
          <w:sz w:val="24"/>
          <w:szCs w:val="24"/>
          <w:highlight w:val="white"/>
          <w:lang w:val="ru-RU"/>
        </w:rPr>
        <w:t xml:space="preserve">(</w:t>
      </w:r>
      <w:r>
        <w:rPr>
          <w:rFonts w:ascii="Carlito" w:hAnsi="Carlito" w:cs="Carlito"/>
          <w:b/>
          <w:bCs/>
          <w:sz w:val="24"/>
          <w:szCs w:val="24"/>
          <w:highlight w:val="white"/>
          <w:lang w:val="ru-RU"/>
        </w:rPr>
      </w:r>
      <w:hyperlink r:id="rId14" w:tooltip="https://clck.yandex.ru/redir/nWO_r1F33ck?data=NnBZTWRhdFZKOHRaTENSMFc4S0VQTjJOZEtiWlloM1Y4YW1zN3RzOFBIdTVUQm1TdVNDa2pSSHNoYmZCZWJyN1B5U3VFclhfLWs3ZmN2bHlxUjVKVER0aFc5WXQ5NUJ2Y2dadlZQZUdUTDZhbzJGRUVuY1BiZWF5Ylo4Tkk3RVNaMzRFZExQSUpDYkVsaHNHaVAta2xGeEVvQndySTVFdV9Gcml5VEdEZGhF&amp;b64e=2&amp;sign=655e45a8d1fb9124a2a4432fc2c79148&amp;keyno=17" w:history="1">
        <w:r>
          <w:rPr>
            <w:rStyle w:val="866"/>
            <w:rFonts w:ascii="Carlito" w:hAnsi="Carlito" w:eastAsia="Liberation Sans" w:cs="Carlito"/>
            <w:color w:val="0000ff"/>
            <w:sz w:val="23"/>
            <w:u w:val="single"/>
          </w:rPr>
          <w:t xml:space="preserve">https://bolshayaperemena.online/?utm_source=region&amp;utm_medium=tula</w:t>
        </w:r>
      </w:hyperlink>
      <w:r>
        <w:rPr>
          <w:rFonts w:ascii="Carlito" w:hAnsi="Carlito" w:cs="Carlito"/>
          <w:b/>
          <w:bCs/>
          <w:sz w:val="24"/>
          <w:szCs w:val="24"/>
          <w:highlight w:val="white"/>
          <w:lang w:val="ru-RU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22 мая 2023 года.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Конкурс является 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флагманск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им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 проект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ом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 Российского движени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я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 детей и молодёжи «Движение Первых».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Соорганизатором проекта выступае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  <w:t xml:space="preserve">т Федеральное агентство по делам молодежи (Росмолодежь).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  <w:bookmarkStart w:id="2" w:name="_GoBack"/>
      <w:r/>
      <w:bookmarkEnd w:id="2"/>
      <w:r/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Всероссийский конкурс «Большая перемена» проводится с 2020 года. В 2022 году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 нему присоединились более 3,9 миллионов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учеников 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10 классов российских школ, студентов СПО и иностранных граждан.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 проходит по 12 «вызовам»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от науки и технологий до экологии и сохранения исторической памяти. 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Первые этапы «Большой перемены» проходят дистанционно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 платформе  </w:t>
      </w:r>
      <w:hyperlink r:id="rId15" w:tooltip="https://bolshayaperemena.online/" w:history="1">
        <w:r>
          <w:rPr>
            <w:rStyle w:val="866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Большаяперемена.онлайн</w:t>
        </w:r>
      </w:hyperlink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.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частники смогут пройти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я, которые помогут им определить, в каком из тематических направлений двигаться дальше, а также получить рекомендации по личностному развитию.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того,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дистанционном формате пройдет решение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кейсовых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вузы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общественные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Впервые в этом году о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чные полуфиналы 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конкурса 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пройдут по вызовам «Большой перемены»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. В них одновременно будут участвовать студенты колледжей и старшеклассники. 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Ф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иналы конкурса 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для 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школьников состоятся на базе Международного детского центра «Артек». Финал среди студентов СПО пройдет в Нижнем Новгороде.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«Большой перемены»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среди учеников 5 – 7 классов (300 человек) смогут отправиться в образовательное «Путешествие мечты» на поезде от Санкт-Петербурга до Владивостока. 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150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человек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 получат по 1 миллиону рублей на образование и дополнительные баллы к портфолио достижений при поступлении в вузы.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600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призёров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получат по 200 тысяч рублей на образование.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0 учеников 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9 классов – по 200 тысяч рублей на образование и саморазвитие.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600 человек – по 100 тысяч рублей.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Победителями конкурса среди студентов выпускных курсов колледжей станут 100 человек</w:t>
      </w:r>
      <w:r>
        <w:rPr>
          <w:rFonts w:ascii="Times New Roman" w:hAnsi="Times New Roman" w:cs="Times New Roman"/>
          <w:sz w:val="24"/>
          <w:lang w:val="ru-RU"/>
        </w:rPr>
        <w:t xml:space="preserve">. О</w:t>
      </w:r>
      <w:r>
        <w:rPr>
          <w:rFonts w:ascii="Times New Roman" w:hAnsi="Times New Roman" w:cs="Times New Roman"/>
          <w:sz w:val="24"/>
          <w:lang w:val="ru-RU"/>
        </w:rPr>
        <w:t xml:space="preserve">ни получат по 1 миллиону рублей на образование и саморазвитие </w:t>
      </w:r>
      <w:r>
        <w:rPr>
          <w:rFonts w:ascii="Times New Roman" w:hAnsi="Times New Roman" w:cs="Times New Roman"/>
          <w:sz w:val="24"/>
          <w:lang w:val="ru-RU"/>
        </w:rPr>
        <w:t xml:space="preserve">или запуск </w:t>
      </w:r>
      <w:r>
        <w:rPr>
          <w:rFonts w:ascii="Times New Roman" w:hAnsi="Times New Roman" w:cs="Times New Roman"/>
          <w:sz w:val="24"/>
          <w:lang w:val="ru-RU"/>
        </w:rPr>
        <w:t xml:space="preserve">стартапа. 200 </w:t>
      </w:r>
      <w:r>
        <w:rPr>
          <w:rFonts w:ascii="Times New Roman" w:hAnsi="Times New Roman" w:cs="Times New Roman"/>
          <w:sz w:val="24"/>
          <w:lang w:val="ru-RU"/>
        </w:rPr>
        <w:t xml:space="preserve">призеров</w:t>
      </w:r>
      <w:r>
        <w:rPr>
          <w:rFonts w:ascii="Times New Roman" w:hAnsi="Times New Roman" w:cs="Times New Roman"/>
          <w:sz w:val="24"/>
          <w:lang w:val="ru-RU"/>
        </w:rPr>
        <w:t xml:space="preserve"> – по 200 тысяч рублей. 100 победителей среди студентов младших курсов – </w:t>
      </w:r>
      <w:r>
        <w:rPr>
          <w:rFonts w:ascii="Times New Roman" w:hAnsi="Times New Roman" w:cs="Times New Roman"/>
          <w:sz w:val="24"/>
          <w:lang w:val="ru-RU"/>
        </w:rPr>
        <w:t xml:space="preserve">по 200 тысяч рублей, 200 </w:t>
      </w:r>
      <w:r>
        <w:rPr>
          <w:rFonts w:ascii="Times New Roman" w:hAnsi="Times New Roman" w:cs="Times New Roman"/>
          <w:sz w:val="24"/>
          <w:lang w:val="ru-RU"/>
        </w:rPr>
        <w:t xml:space="preserve">призеров</w:t>
      </w:r>
      <w:r>
        <w:rPr>
          <w:rFonts w:ascii="Times New Roman" w:hAnsi="Times New Roman" w:cs="Times New Roman"/>
          <w:sz w:val="24"/>
          <w:lang w:val="ru-RU"/>
        </w:rPr>
        <w:t xml:space="preserve"> среди студентов младших курсов</w:t>
      </w:r>
      <w:r>
        <w:rPr>
          <w:rFonts w:ascii="Times New Roman" w:hAnsi="Times New Roman" w:cs="Times New Roman"/>
          <w:sz w:val="24"/>
          <w:lang w:val="ru-RU"/>
        </w:rPr>
        <w:t xml:space="preserve"> – по 100 тысяч рублей.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Топ-50 образовательных организаций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подготовивших наибольшее количество активных участников «Больш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ой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перемен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», получат гранты в размере 2 миллионов рублей на развитие образовательной среды. Решение о том, на что будут потрачены средства, школы и колледжи будут принимать вместе с ребятами, которые принесли им победу.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Педагоги-наставники, подготовившие победителей конкурса среди старшеклассников и студентов СПО, получат по 150 тысяч рублей и возможность пройти образовательную программу от партнеров «Большой перемены».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Педагоги, подготовившие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призеров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конкурса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по 50 тысяч рублей.  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Педагоги-наставники победителей среди школьников 5-7 классов получат по 100 тысяч рублей и также смогут пройти повышение квалификации.</w:t>
      </w:r>
      <w:r/>
    </w:p>
    <w:p>
      <w:pPr>
        <w:ind w:right="542"/>
        <w:jc w:val="both"/>
        <w:spacing w:after="120" w:line="288" w:lineRule="auto"/>
        <w:rPr>
          <w:rFonts w:ascii="Times New Roman" w:hAnsi="Times New Roman" w:eastAsia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В новом сезоне «Большой перемены» 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помимо российских школьников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 также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 смогут принять участие граждане иностранных государств, свободно владеющие русским языком, а также имеющие 2 гражданства или россияне, постоянно обучающиеся за пределами Российской Федерации.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 По итогам победители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 международного трека из числа выпускников школ получат возможность пройти обучение на бюджетной основе в российских вузах.</w:t>
      </w:r>
      <w:r/>
    </w:p>
    <w:p>
      <w:pPr>
        <w:ind w:right="403"/>
        <w:jc w:val="both"/>
        <w:spacing w:after="12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Организаторами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к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онкурса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«Большая перемена»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выступают Федеральное агентство по делам молодёжи (Росмолодёжь), АНО «Россия – страна возможностей», АНО «Большая Перемена» и Российское движение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 детей и молодежи «Движение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П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ервых»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Конкурс проходит при поддержке Министерства просвещения РФ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Министерства науки и высшего образования РФ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реализуется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в рамках национального проекта «Образование».</w:t>
      </w:r>
      <w:r/>
    </w:p>
    <w:p>
      <w:pPr>
        <w:ind w:right="403"/>
        <w:jc w:val="both"/>
        <w:spacing w:after="12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Генеральные партнеры конкурса – ОАО «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Российские железные дороги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», Госкорпорация «Росатом»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Сбербанк,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VK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, Госкорпорация «Роскосмос».</w:t>
      </w:r>
      <w:r/>
    </w:p>
    <w:p>
      <w:pPr>
        <w:ind w:right="403"/>
        <w:jc w:val="both"/>
        <w:spacing w:after="120"/>
        <w:tabs>
          <w:tab w:val="left" w:pos="993" w:leader="none"/>
        </w:tabs>
        <w:rPr>
          <w:rFonts w:ascii="Times New Roman" w:hAnsi="Times New Roman" w:eastAsia="Times New Roman" w:cs="Times New Roman"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u w:val="single"/>
          <w:lang w:val="ru-RU"/>
        </w:rPr>
      </w:r>
      <w:r/>
    </w:p>
    <w:p>
      <w:pPr>
        <w:ind w:right="403"/>
        <w:jc w:val="both"/>
        <w:spacing w:after="120"/>
        <w:tabs>
          <w:tab w:val="left" w:pos="993" w:leader="none"/>
        </w:tabs>
        <w:rPr>
          <w:lang w:val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u w:val="single"/>
          <w:lang w:val="ru-RU"/>
        </w:rPr>
        <w:t xml:space="preserve">КОНТАКТЫ ДЛЯ</w:t>
      </w:r>
      <w:r>
        <w:rPr>
          <w:rFonts w:ascii="Times New Roman" w:hAnsi="Times New Roman" w:eastAsia="Times New Roman" w:cs="Times New Roman"/>
          <w:iCs/>
          <w:sz w:val="24"/>
          <w:szCs w:val="24"/>
          <w:u w:val="single"/>
          <w:lang w:val="ru-RU"/>
        </w:rPr>
        <w:t xml:space="preserve"> СМИ: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 xml:space="preserve"> </w:t>
      </w:r>
      <w:r/>
    </w:p>
    <w:p>
      <w:pPr>
        <w:ind w:right="403"/>
        <w:jc w:val="both"/>
        <w:spacing w:after="120" w:line="288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Ксения Парненкова, +7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 (968) 082-25-22, </w:t>
      </w:r>
      <w:hyperlink r:id="rId16" w:tooltip="mailto:press@peremena.team" w:history="1">
        <w:r>
          <w:rPr>
            <w:rStyle w:val="866"/>
            <w:rFonts w:ascii="Times New Roman" w:hAnsi="Times New Roman" w:eastAsia="Times New Roman" w:cs="Times New Roman"/>
            <w:bCs/>
            <w:sz w:val="24"/>
            <w:szCs w:val="24"/>
            <w:lang w:val="ru-RU"/>
          </w:rPr>
          <w:t xml:space="preserve">press@peremena.team</w:t>
        </w:r>
      </w:hyperlink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</w:t>
      </w:r>
      <w:r/>
    </w:p>
    <w:p>
      <w:pPr>
        <w:ind w:right="403"/>
        <w:jc w:val="both"/>
        <w:spacing w:after="120" w:line="288" w:lineRule="auto"/>
        <w:tabs>
          <w:tab w:val="left" w:pos="993" w:leader="none"/>
        </w:tabs>
        <w:rPr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Диана Джиоева, + 7 (928) 858-01-59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710" w:bottom="709" w:left="1440" w:header="142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liberation serif;times new roma">
    <w:panose1 w:val="02020603050405020304"/>
  </w:font>
  <w:font w:name="Tahoma">
    <w:panose1 w:val="020B05060306020302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>
      <w:tab/>
    </w:r>
    <w:r>
      <w:rPr>
        <w:lang w:val="ru-RU"/>
      </w:rPr>
      <w:tab/>
    </w:r>
    <w:r/>
  </w:p>
  <w:p>
    <w:pPr>
      <w:pStyle w:val="886"/>
      <w:tabs>
        <w:tab w:val="left" w:pos="6880" w:leader="none"/>
      </w:tabs>
      <w:rPr>
        <w:lang w:val="ru-RU"/>
      </w:rPr>
    </w:pPr>
    <w:r>
      <w:rPr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3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3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3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3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83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63"/>
    <w:link w:val="680"/>
    <w:uiPriority w:val="10"/>
    <w:rPr>
      <w:sz w:val="48"/>
      <w:szCs w:val="48"/>
    </w:rPr>
  </w:style>
  <w:style w:type="character" w:styleId="36">
    <w:name w:val="Subtitle Char"/>
    <w:basedOn w:val="663"/>
    <w:link w:val="883"/>
    <w:uiPriority w:val="11"/>
    <w:rPr>
      <w:sz w:val="24"/>
      <w:szCs w:val="24"/>
    </w:rPr>
  </w:style>
  <w:style w:type="character" w:styleId="38">
    <w:name w:val="Quote Char"/>
    <w:link w:val="683"/>
    <w:uiPriority w:val="29"/>
    <w:rPr>
      <w:i/>
    </w:rPr>
  </w:style>
  <w:style w:type="character" w:styleId="40">
    <w:name w:val="Intense Quote Char"/>
    <w:link w:val="685"/>
    <w:uiPriority w:val="30"/>
    <w:rPr>
      <w:i/>
    </w:rPr>
  </w:style>
  <w:style w:type="paragraph" w:styleId="41">
    <w:name w:val="Header"/>
    <w:basedOn w:val="66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3">
    <w:name w:val="Footer"/>
    <w:basedOn w:val="66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5">
    <w:name w:val="Footnote Text Char"/>
    <w:link w:val="816"/>
    <w:uiPriority w:val="99"/>
    <w:rPr>
      <w:sz w:val="18"/>
    </w:rPr>
  </w:style>
  <w:style w:type="character" w:styleId="178">
    <w:name w:val="Endnote Text Char"/>
    <w:link w:val="819"/>
    <w:uiPriority w:val="99"/>
    <w:rPr>
      <w:sz w:val="20"/>
    </w:rPr>
  </w:style>
  <w:style w:type="paragraph" w:styleId="662" w:default="1">
    <w:name w:val="Normal"/>
    <w:qFormat/>
    <w:pPr>
      <w:spacing w:line="276" w:lineRule="auto"/>
    </w:pPr>
    <w:rPr>
      <w:rFonts w:ascii="Arial" w:hAnsi="Arial" w:eastAsia="Arial" w:cs="Arial"/>
      <w:sz w:val="22"/>
      <w:szCs w:val="22"/>
      <w:lang w:bidi="ar-SA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link w:val="83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link w:val="834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link w:val="835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672" w:customStyle="1">
    <w:name w:val="Заголовок 71"/>
    <w:basedOn w:val="662"/>
    <w:next w:val="662"/>
    <w:link w:val="673"/>
    <w:uiPriority w:val="9"/>
    <w:unhideWhenUsed/>
    <w:qFormat/>
    <w:pPr>
      <w:keepLines/>
      <w:keepNext/>
      <w:spacing w:before="320" w:after="200"/>
      <w:outlineLvl w:val="6"/>
    </w:pPr>
    <w:rPr>
      <w:b/>
      <w:bCs/>
      <w:i/>
      <w:iCs/>
    </w:rPr>
  </w:style>
  <w:style w:type="character" w:styleId="673" w:customStyle="1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 w:customStyle="1">
    <w:name w:val="Заголовок 81"/>
    <w:basedOn w:val="662"/>
    <w:next w:val="662"/>
    <w:link w:val="675"/>
    <w:uiPriority w:val="9"/>
    <w:unhideWhenUsed/>
    <w:qFormat/>
    <w:pPr>
      <w:keepLines/>
      <w:keepNext/>
      <w:spacing w:before="320" w:after="200"/>
      <w:outlineLvl w:val="7"/>
    </w:pPr>
    <w:rPr>
      <w:i/>
      <w:iCs/>
    </w:rPr>
  </w:style>
  <w:style w:type="character" w:styleId="675" w:customStyle="1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 w:customStyle="1">
    <w:name w:val="Заголовок 91"/>
    <w:basedOn w:val="662"/>
    <w:next w:val="662"/>
    <w:link w:val="677"/>
    <w:uiPriority w:val="9"/>
    <w:unhideWhenUsed/>
    <w:qFormat/>
    <w:pPr>
      <w:keepLines/>
      <w:keepNext/>
      <w:spacing w:before="320" w:after="200"/>
      <w:outlineLvl w:val="8"/>
    </w:pPr>
    <w:rPr>
      <w:i/>
      <w:iCs/>
      <w:sz w:val="21"/>
      <w:szCs w:val="21"/>
    </w:rPr>
  </w:style>
  <w:style w:type="character" w:styleId="677" w:customStyle="1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662"/>
    <w:qFormat/>
    <w:pPr>
      <w:contextualSpacing/>
      <w:ind w:left="720"/>
    </w:pPr>
  </w:style>
  <w:style w:type="paragraph" w:styleId="679">
    <w:name w:val="No Spacing"/>
    <w:qFormat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ru-RU" w:bidi="ar-SA"/>
    </w:rPr>
  </w:style>
  <w:style w:type="paragraph" w:styleId="680">
    <w:name w:val="Title"/>
    <w:basedOn w:val="662"/>
    <w:next w:val="662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 w:customStyle="1">
    <w:name w:val="Заголовок Знак"/>
    <w:link w:val="680"/>
    <w:uiPriority w:val="10"/>
    <w:rPr>
      <w:sz w:val="48"/>
      <w:szCs w:val="48"/>
    </w:rPr>
  </w:style>
  <w:style w:type="character" w:styleId="682" w:customStyle="1">
    <w:name w:val="Подзаголовок Знак"/>
    <w:link w:val="883"/>
    <w:uiPriority w:val="11"/>
    <w:rPr>
      <w:sz w:val="24"/>
      <w:szCs w:val="24"/>
    </w:rPr>
  </w:style>
  <w:style w:type="paragraph" w:styleId="683">
    <w:name w:val="Quote"/>
    <w:basedOn w:val="662"/>
    <w:next w:val="662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62"/>
    <w:next w:val="662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character" w:styleId="687" w:customStyle="1">
    <w:name w:val="Header Char"/>
    <w:link w:val="886"/>
    <w:uiPriority w:val="99"/>
  </w:style>
  <w:style w:type="character" w:styleId="688" w:customStyle="1">
    <w:name w:val="Footer Char"/>
    <w:uiPriority w:val="99"/>
  </w:style>
  <w:style w:type="character" w:styleId="689" w:customStyle="1">
    <w:name w:val="Caption Char"/>
    <w:link w:val="887"/>
    <w:uiPriority w:val="99"/>
  </w:style>
  <w:style w:type="table" w:styleId="69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6">
    <w:name w:val="footnote text"/>
    <w:basedOn w:val="662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62"/>
    <w:link w:val="820"/>
    <w:uiPriority w:val="99"/>
    <w:semiHidden/>
    <w:unhideWhenUsed/>
    <w:pPr>
      <w:spacing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62"/>
    <w:next w:val="662"/>
    <w:uiPriority w:val="39"/>
    <w:unhideWhenUsed/>
    <w:pPr>
      <w:spacing w:after="57"/>
    </w:pPr>
  </w:style>
  <w:style w:type="paragraph" w:styleId="823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24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25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26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27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28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29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30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62"/>
    <w:next w:val="662"/>
    <w:uiPriority w:val="99"/>
    <w:unhideWhenUsed/>
  </w:style>
  <w:style w:type="paragraph" w:styleId="833" w:customStyle="1">
    <w:name w:val="Заголовок 11"/>
    <w:basedOn w:val="662"/>
    <w:next w:val="662"/>
    <w:link w:val="666"/>
    <w:qFormat/>
    <w:pPr>
      <w:numPr>
        <w:numId w:val="1"/>
      </w:numPr>
      <w:keepLines/>
      <w:keepNext/>
      <w:spacing w:before="400" w:after="120"/>
      <w:outlineLvl w:val="0"/>
    </w:pPr>
    <w:rPr>
      <w:sz w:val="40"/>
      <w:szCs w:val="40"/>
    </w:rPr>
  </w:style>
  <w:style w:type="paragraph" w:styleId="834" w:customStyle="1">
    <w:name w:val="Заголовок 21"/>
    <w:basedOn w:val="662"/>
    <w:next w:val="662"/>
    <w:link w:val="667"/>
    <w:qFormat/>
    <w:pPr>
      <w:numPr>
        <w:ilvl w:val="1"/>
        <w:numId w:val="1"/>
      </w:numPr>
      <w:keepLines/>
      <w:keepNext/>
      <w:spacing w:before="360" w:after="120"/>
      <w:outlineLvl w:val="1"/>
    </w:pPr>
    <w:rPr>
      <w:sz w:val="32"/>
      <w:szCs w:val="32"/>
    </w:rPr>
  </w:style>
  <w:style w:type="paragraph" w:styleId="835" w:customStyle="1">
    <w:name w:val="Заголовок 31"/>
    <w:basedOn w:val="662"/>
    <w:next w:val="662"/>
    <w:link w:val="668"/>
    <w:qFormat/>
    <w:pPr>
      <w:numPr>
        <w:ilvl w:val="2"/>
        <w:numId w:val="1"/>
      </w:num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36" w:customStyle="1">
    <w:name w:val="Заголовок 41"/>
    <w:basedOn w:val="662"/>
    <w:next w:val="662"/>
    <w:link w:val="669"/>
    <w:qFormat/>
    <w:pPr>
      <w:numPr>
        <w:ilvl w:val="3"/>
        <w:numId w:val="1"/>
      </w:num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37" w:customStyle="1">
    <w:name w:val="Заголовок 51"/>
    <w:basedOn w:val="662"/>
    <w:next w:val="662"/>
    <w:link w:val="670"/>
    <w:qFormat/>
    <w:pPr>
      <w:numPr>
        <w:ilvl w:val="4"/>
        <w:numId w:val="1"/>
      </w:numPr>
      <w:keepLines/>
      <w:keepNext/>
      <w:spacing w:before="240" w:after="80"/>
      <w:outlineLvl w:val="4"/>
    </w:pPr>
    <w:rPr>
      <w:color w:val="666666"/>
    </w:rPr>
  </w:style>
  <w:style w:type="paragraph" w:styleId="838" w:customStyle="1">
    <w:name w:val="Заголовок 61"/>
    <w:basedOn w:val="662"/>
    <w:next w:val="662"/>
    <w:link w:val="671"/>
    <w:qFormat/>
    <w:pPr>
      <w:numPr>
        <w:ilvl w:val="5"/>
        <w:numId w:val="1"/>
      </w:numPr>
      <w:keepLines/>
      <w:keepNext/>
      <w:spacing w:before="240" w:after="80"/>
      <w:outlineLvl w:val="5"/>
    </w:pPr>
    <w:rPr>
      <w:i/>
      <w:color w:val="666666"/>
    </w:rPr>
  </w:style>
  <w:style w:type="character" w:styleId="839" w:customStyle="1">
    <w:name w:val="WW8Num1z0"/>
    <w:qFormat/>
  </w:style>
  <w:style w:type="character" w:styleId="840" w:customStyle="1">
    <w:name w:val="WW8Num1z1"/>
    <w:qFormat/>
  </w:style>
  <w:style w:type="character" w:styleId="841" w:customStyle="1">
    <w:name w:val="WW8Num1z2"/>
    <w:qFormat/>
  </w:style>
  <w:style w:type="character" w:styleId="842" w:customStyle="1">
    <w:name w:val="WW8Num1z3"/>
    <w:qFormat/>
  </w:style>
  <w:style w:type="character" w:styleId="843" w:customStyle="1">
    <w:name w:val="WW8Num1z4"/>
    <w:qFormat/>
  </w:style>
  <w:style w:type="character" w:styleId="844" w:customStyle="1">
    <w:name w:val="WW8Num1z5"/>
    <w:qFormat/>
  </w:style>
  <w:style w:type="character" w:styleId="845" w:customStyle="1">
    <w:name w:val="WW8Num1z6"/>
    <w:qFormat/>
  </w:style>
  <w:style w:type="character" w:styleId="846" w:customStyle="1">
    <w:name w:val="WW8Num1z7"/>
    <w:qFormat/>
  </w:style>
  <w:style w:type="character" w:styleId="847" w:customStyle="1">
    <w:name w:val="WW8Num1z8"/>
    <w:qFormat/>
  </w:style>
  <w:style w:type="character" w:styleId="848" w:customStyle="1">
    <w:name w:val="WW8Num2z0"/>
    <w:qFormat/>
  </w:style>
  <w:style w:type="character" w:styleId="849" w:customStyle="1">
    <w:name w:val="WW8Num2z1"/>
    <w:qFormat/>
  </w:style>
  <w:style w:type="character" w:styleId="850" w:customStyle="1">
    <w:name w:val="WW8Num2z2"/>
    <w:qFormat/>
  </w:style>
  <w:style w:type="character" w:styleId="851" w:customStyle="1">
    <w:name w:val="WW8Num2z3"/>
    <w:qFormat/>
  </w:style>
  <w:style w:type="character" w:styleId="852" w:customStyle="1">
    <w:name w:val="WW8Num2z4"/>
    <w:qFormat/>
  </w:style>
  <w:style w:type="character" w:styleId="853" w:customStyle="1">
    <w:name w:val="WW8Num2z5"/>
    <w:qFormat/>
  </w:style>
  <w:style w:type="character" w:styleId="854" w:customStyle="1">
    <w:name w:val="WW8Num2z6"/>
    <w:qFormat/>
  </w:style>
  <w:style w:type="character" w:styleId="855" w:customStyle="1">
    <w:name w:val="WW8Num2z7"/>
    <w:qFormat/>
  </w:style>
  <w:style w:type="character" w:styleId="856" w:customStyle="1">
    <w:name w:val="WW8Num2z8"/>
    <w:qFormat/>
  </w:style>
  <w:style w:type="character" w:styleId="857" w:customStyle="1">
    <w:name w:val="WW8Num3z0"/>
    <w:qFormat/>
    <w:rPr>
      <w:rFonts w:ascii="Symbol" w:hAnsi="Symbol" w:cs="Symbol"/>
      <w:sz w:val="20"/>
    </w:rPr>
  </w:style>
  <w:style w:type="character" w:styleId="858" w:customStyle="1">
    <w:name w:val="WW8Num3z1"/>
    <w:qFormat/>
    <w:rPr>
      <w:rFonts w:ascii="Courier New" w:hAnsi="Courier New" w:cs="Courier New"/>
      <w:sz w:val="20"/>
    </w:rPr>
  </w:style>
  <w:style w:type="character" w:styleId="859" w:customStyle="1">
    <w:name w:val="WW8Num3z2"/>
    <w:qFormat/>
    <w:rPr>
      <w:rFonts w:ascii="Wingdings" w:hAnsi="Wingdings" w:cs="Wingdings"/>
      <w:sz w:val="20"/>
    </w:rPr>
  </w:style>
  <w:style w:type="character" w:styleId="860" w:customStyle="1">
    <w:name w:val="WW8Num4z0"/>
    <w:qFormat/>
    <w:rPr>
      <w:rFonts w:ascii="Symbol" w:hAnsi="Symbol" w:cs="Symbol"/>
    </w:rPr>
  </w:style>
  <w:style w:type="character" w:styleId="861" w:customStyle="1">
    <w:name w:val="WW8Num4z1"/>
    <w:qFormat/>
    <w:rPr>
      <w:rFonts w:ascii="Courier New" w:hAnsi="Courier New" w:cs="Courier New"/>
    </w:rPr>
  </w:style>
  <w:style w:type="character" w:styleId="862" w:customStyle="1">
    <w:name w:val="WW8Num4z2"/>
    <w:qFormat/>
    <w:rPr>
      <w:rFonts w:ascii="Wingdings" w:hAnsi="Wingdings" w:cs="Wingdings"/>
    </w:rPr>
  </w:style>
  <w:style w:type="character" w:styleId="863" w:customStyle="1">
    <w:name w:val="WW8Num5z0"/>
    <w:qFormat/>
    <w:rPr>
      <w:rFonts w:ascii="Symbol" w:hAnsi="Symbol" w:cs="Symbol"/>
    </w:rPr>
  </w:style>
  <w:style w:type="character" w:styleId="864" w:customStyle="1">
    <w:name w:val="WW8Num5z1"/>
    <w:qFormat/>
    <w:rPr>
      <w:rFonts w:ascii="Courier New" w:hAnsi="Courier New" w:cs="Courier New"/>
    </w:rPr>
  </w:style>
  <w:style w:type="character" w:styleId="865" w:customStyle="1">
    <w:name w:val="WW8Num5z2"/>
    <w:qFormat/>
    <w:rPr>
      <w:rFonts w:ascii="Wingdings" w:hAnsi="Wingdings" w:cs="Wingdings"/>
    </w:rPr>
  </w:style>
  <w:style w:type="character" w:styleId="866">
    <w:name w:val="Hyperlink"/>
    <w:uiPriority w:val="99"/>
    <w:qFormat/>
    <w:rPr>
      <w:color w:val="0000ff"/>
      <w:u w:val="single"/>
    </w:rPr>
  </w:style>
  <w:style w:type="character" w:styleId="867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68" w:customStyle="1">
    <w:name w:val="Верхний колонтитул Знак"/>
    <w:basedOn w:val="663"/>
    <w:qFormat/>
  </w:style>
  <w:style w:type="character" w:styleId="869" w:customStyle="1">
    <w:name w:val="Нижний колонтитул Знак"/>
    <w:basedOn w:val="663"/>
    <w:qFormat/>
  </w:style>
  <w:style w:type="character" w:styleId="870">
    <w:name w:val="FollowedHyperlink"/>
    <w:qFormat/>
    <w:rPr>
      <w:color w:val="954f72"/>
      <w:u w:val="single"/>
    </w:rPr>
  </w:style>
  <w:style w:type="character" w:styleId="871" w:customStyle="1">
    <w:name w:val="Strong Emphasis"/>
    <w:qFormat/>
    <w:rPr>
      <w:b/>
      <w:bCs/>
    </w:rPr>
  </w:style>
  <w:style w:type="character" w:styleId="872" w:customStyle="1">
    <w:name w:val="Основной текст Знак"/>
    <w:qFormat/>
    <w:rPr>
      <w:rFonts w:ascii="Liberation Serif;Times New Roma" w:hAnsi="Liberation Serif;Times New Roma" w:eastAsia="Arial Unicode MS" w:cs="Arial Unicode MS"/>
      <w:sz w:val="24"/>
      <w:szCs w:val="24"/>
      <w:lang w:eastAsia="zh-CN" w:bidi="hi-IN"/>
    </w:rPr>
  </w:style>
  <w:style w:type="character" w:styleId="873">
    <w:name w:val="Emphasis"/>
    <w:qFormat/>
    <w:rPr>
      <w:i/>
      <w:iCs/>
    </w:rPr>
  </w:style>
  <w:style w:type="character" w:styleId="874" w:customStyle="1">
    <w:name w:val="person-appointment-title"/>
    <w:qFormat/>
  </w:style>
  <w:style w:type="character" w:styleId="875" w:customStyle="1">
    <w:name w:val="Неразрешенное упоминание1"/>
    <w:qFormat/>
    <w:rPr>
      <w:color w:val="605e5c"/>
      <w:shd w:val="clear" w:color="auto" w:fill="e1dfdd"/>
    </w:rPr>
  </w:style>
  <w:style w:type="character" w:styleId="876" w:customStyle="1">
    <w:name w:val="apple-converted-space"/>
    <w:basedOn w:val="663"/>
    <w:qFormat/>
  </w:style>
  <w:style w:type="paragraph" w:styleId="877" w:customStyle="1">
    <w:name w:val="Heading"/>
    <w:basedOn w:val="662"/>
    <w:next w:val="662"/>
    <w:qFormat/>
    <w:pPr>
      <w:keepLines/>
      <w:keepNext/>
      <w:spacing w:after="60"/>
    </w:pPr>
    <w:rPr>
      <w:sz w:val="52"/>
      <w:szCs w:val="52"/>
    </w:rPr>
  </w:style>
  <w:style w:type="paragraph" w:styleId="878">
    <w:name w:val="Body Text"/>
    <w:basedOn w:val="662"/>
    <w:pPr>
      <w:spacing w:after="140" w:line="288" w:lineRule="auto"/>
    </w:pPr>
    <w:rPr>
      <w:rFonts w:ascii="Liberation Serif;Times New Roma" w:hAnsi="Liberation Serif;Times New Roma" w:eastAsia="Arial Unicode MS" w:cs="Arial Unicode MS"/>
      <w:sz w:val="24"/>
      <w:szCs w:val="24"/>
      <w:lang w:bidi="hi-IN"/>
    </w:rPr>
  </w:style>
  <w:style w:type="paragraph" w:styleId="879">
    <w:name w:val="List"/>
    <w:basedOn w:val="878"/>
  </w:style>
  <w:style w:type="paragraph" w:styleId="880" w:customStyle="1">
    <w:name w:val="Название объекта1"/>
    <w:basedOn w:val="662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81" w:customStyle="1">
    <w:name w:val="Index"/>
    <w:basedOn w:val="662"/>
    <w:qFormat/>
    <w:pPr>
      <w:suppressLineNumbers/>
    </w:pPr>
  </w:style>
  <w:style w:type="paragraph" w:styleId="882">
    <w:name w:val="Caption"/>
    <w:basedOn w:val="662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83">
    <w:name w:val="Subtitle"/>
    <w:basedOn w:val="662"/>
    <w:next w:val="662"/>
    <w:link w:val="682"/>
    <w:qFormat/>
    <w:pPr>
      <w:keepLines/>
      <w:keepNext/>
      <w:spacing w:after="320"/>
    </w:pPr>
    <w:rPr>
      <w:color w:val="666666"/>
      <w:sz w:val="30"/>
      <w:szCs w:val="30"/>
    </w:rPr>
  </w:style>
  <w:style w:type="paragraph" w:styleId="884">
    <w:name w:val="Balloon Text"/>
    <w:basedOn w:val="662"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885" w:customStyle="1">
    <w:name w:val="Header and Footer"/>
    <w:basedOn w:val="662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86" w:customStyle="1">
    <w:name w:val="Верхний колонтитул1"/>
    <w:basedOn w:val="662"/>
    <w:link w:val="687"/>
    <w:pPr>
      <w:spacing w:line="240" w:lineRule="auto"/>
    </w:pPr>
  </w:style>
  <w:style w:type="paragraph" w:styleId="887" w:customStyle="1">
    <w:name w:val="Нижний колонтитул1"/>
    <w:basedOn w:val="662"/>
    <w:link w:val="689"/>
    <w:pPr>
      <w:spacing w:line="240" w:lineRule="auto"/>
    </w:pPr>
  </w:style>
  <w:style w:type="paragraph" w:styleId="888" w:customStyle="1">
    <w:name w:val="Обычный1"/>
    <w:qFormat/>
    <w:pPr>
      <w:spacing w:line="276" w:lineRule="auto"/>
    </w:pPr>
    <w:rPr>
      <w:rFonts w:ascii="Arial" w:hAnsi="Arial" w:eastAsia="Arial" w:cs="Arial"/>
      <w:sz w:val="22"/>
      <w:szCs w:val="22"/>
      <w:lang w:val="ru-RU" w:bidi="ar-SA"/>
    </w:rPr>
  </w:style>
  <w:style w:type="paragraph" w:styleId="889" w:customStyle="1">
    <w:name w:val="Обычный (веб)1"/>
    <w:basedOn w:val="662"/>
    <w:qFormat/>
    <w:rPr>
      <w:rFonts w:ascii="Times New Roman" w:hAnsi="Times New Roman" w:cs="Times New Roman"/>
      <w:sz w:val="24"/>
      <w:szCs w:val="24"/>
    </w:rPr>
  </w:style>
  <w:style w:type="numbering" w:styleId="890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hyperlink" Target="https://clck.yandex.ru/redir/nWO_r1F33ck?data=NnBZTWRhdFZKOHRaTENSMFc4S0VQTjJOZEtiWlloM1Y4YW1zN3RzOFBIdTVUQm1TdVNDa2pSSHNoYmZCZWJyN1B5U3VFclhfLWs3ZmN2bHlxUjVKVER0aFc5WXQ5NUJ2Y2dadlZQZUdUTDZhbzJGRUVuY1BiZWF5Ylo4Tkk3RVNaMzRFZExQSUpDYkVsaHNHaVAta2xGeEVvQndySTVFdV9Gcml5VEdEZGhF&amp;b64e=2&amp;sign=655e45a8d1fb9124a2a4432fc2c79148&amp;keyno=17" TargetMode="External"/><Relationship Id="rId15" Type="http://schemas.openxmlformats.org/officeDocument/2006/relationships/hyperlink" Target="https://bolshayaperemena.online/" TargetMode="External"/><Relationship Id="rId16" Type="http://schemas.openxmlformats.org/officeDocument/2006/relationships/hyperlink" Target="mailto:press@peremena.tea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dc:description/>
  <dc:language>en-US</dc:language>
  <cp:lastModifiedBy>Марина Корнейчук</cp:lastModifiedBy>
  <cp:revision>10</cp:revision>
  <dcterms:created xsi:type="dcterms:W3CDTF">2023-04-05T11:46:00Z</dcterms:created>
  <dcterms:modified xsi:type="dcterms:W3CDTF">2023-04-25T10:37:57Z</dcterms:modified>
</cp:coreProperties>
</file>